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2023</w:t>
      </w:r>
      <w:r>
        <w:rPr>
          <w:rFonts w:hint="eastAsia" w:ascii="黑体" w:hAnsi="黑体" w:eastAsia="黑体" w:cs="黑体"/>
          <w:b w:val="0"/>
          <w:bCs w:val="0"/>
          <w:sz w:val="44"/>
          <w:szCs w:val="44"/>
        </w:rPr>
        <w:t>年度</w:t>
      </w:r>
      <w:r>
        <w:rPr>
          <w:rFonts w:hint="eastAsia" w:ascii="黑体" w:hAnsi="黑体" w:eastAsia="黑体" w:cs="黑体"/>
          <w:b w:val="0"/>
          <w:bCs w:val="0"/>
          <w:sz w:val="44"/>
          <w:szCs w:val="44"/>
          <w:lang w:val="en-US" w:eastAsia="zh-CN"/>
        </w:rPr>
        <w:t>内蒙古自治区锡林郭勒盟人民防空办公室（本级）</w:t>
      </w:r>
      <w:r>
        <w:rPr>
          <w:rFonts w:hint="eastAsia" w:ascii="黑体" w:hAnsi="黑体" w:eastAsia="黑体" w:cs="黑体"/>
          <w:b w:val="0"/>
          <w:bCs w:val="0"/>
          <w:sz w:val="44"/>
          <w:szCs w:val="44"/>
          <w:u w:val="none"/>
        </w:rPr>
        <w:t>部门</w:t>
      </w:r>
      <w:r>
        <w:rPr>
          <w:rFonts w:hint="eastAsia" w:ascii="黑体" w:hAnsi="黑体" w:eastAsia="黑体" w:cs="黑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2023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4</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 xml:space="preserve">23  </w:t>
      </w:r>
      <w:r>
        <w:rPr>
          <w:rFonts w:hint="eastAsia" w:ascii="黑体" w:hAnsi="黑体" w:eastAsia="黑体" w:cs="黑体"/>
          <w:sz w:val="32"/>
          <w:szCs w:val="32"/>
          <w:u w:val="single"/>
        </w:rPr>
        <w:t>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2023</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 xml:space="preserve">5   </w:t>
      </w:r>
      <w:r>
        <w:rPr>
          <w:rFonts w:ascii="黑体" w:hAnsi="黑体" w:eastAsia="黑体" w:cs="黑体"/>
          <w:sz w:val="32"/>
          <w:szCs w:val="32"/>
          <w:u w:val="single"/>
        </w:rPr>
        <w:t xml:space="preserve">月 </w:t>
      </w:r>
      <w:r>
        <w:rPr>
          <w:rFonts w:hint="eastAsia" w:ascii="黑体" w:hAnsi="黑体" w:eastAsia="黑体" w:cs="黑体"/>
          <w:sz w:val="32"/>
          <w:szCs w:val="32"/>
          <w:u w:val="single"/>
          <w:lang w:val="en-US" w:eastAsia="zh-CN"/>
        </w:rPr>
        <w:t>10</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二、部门机构设置及预算单位构成情况</w:t>
      </w:r>
    </w:p>
    <w:p>
      <w:pPr>
        <w:pStyle w:val="10"/>
        <w:pageBreakBefore w:val="0"/>
        <w:kinsoku/>
        <w:wordWrap/>
        <w:overflowPunct/>
        <w:topLinePunct w:val="0"/>
        <w:bidi w:val="0"/>
        <w:spacing w:after="0" w:line="600" w:lineRule="exact"/>
        <w:rPr>
          <w:rFonts w:ascii="黑体" w:hAnsi="黑体" w:eastAsia="黑体" w:cs="黑体"/>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年度部门主要工作任务及目标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部门概况</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spacing w:beforeLines="0" w:afterLines="0" w:line="360" w:lineRule="auto"/>
        <w:ind w:firstLine="200" w:firstLineChars="200"/>
        <w:rPr>
          <w:rFonts w:hint="eastAsia" w:ascii="仿宋" w:hAnsi="仿宋" w:eastAsia="仿宋"/>
          <w:sz w:val="10"/>
          <w:szCs w:val="10"/>
          <w:lang w:val="en-US" w:eastAsia="zh-CN"/>
        </w:rPr>
      </w:pP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贯彻</w:t>
      </w:r>
      <w:r>
        <w:rPr>
          <w:rFonts w:hint="eastAsia" w:ascii="仿宋" w:hAnsi="仿宋" w:eastAsia="仿宋"/>
          <w:sz w:val="32"/>
          <w:lang w:val="en-US" w:eastAsia="zh-CN"/>
        </w:rPr>
        <w:t>落实</w:t>
      </w:r>
      <w:r>
        <w:rPr>
          <w:rFonts w:hint="eastAsia" w:ascii="仿宋" w:hAnsi="仿宋" w:eastAsia="仿宋"/>
          <w:sz w:val="32"/>
        </w:rPr>
        <w:t>国家、自治区</w:t>
      </w:r>
      <w:r>
        <w:rPr>
          <w:rFonts w:hint="eastAsia" w:ascii="仿宋" w:hAnsi="仿宋" w:eastAsia="仿宋"/>
          <w:sz w:val="32"/>
          <w:lang w:val="en-US" w:eastAsia="zh-CN"/>
        </w:rPr>
        <w:t>有关</w:t>
      </w:r>
      <w:r>
        <w:rPr>
          <w:rFonts w:hint="eastAsia" w:ascii="仿宋" w:hAnsi="仿宋" w:eastAsia="仿宋"/>
          <w:sz w:val="32"/>
        </w:rPr>
        <w:t>人民防空</w:t>
      </w:r>
      <w:r>
        <w:rPr>
          <w:rFonts w:hint="eastAsia" w:ascii="仿宋" w:hAnsi="仿宋" w:eastAsia="仿宋"/>
          <w:sz w:val="32"/>
          <w:lang w:val="en-US" w:eastAsia="zh-CN"/>
        </w:rPr>
        <w:t>方面的</w:t>
      </w:r>
      <w:r>
        <w:rPr>
          <w:rFonts w:hint="eastAsia" w:ascii="仿宋" w:hAnsi="仿宋" w:eastAsia="仿宋"/>
          <w:sz w:val="32"/>
        </w:rPr>
        <w:t>法律法规政策，</w:t>
      </w:r>
      <w:r>
        <w:rPr>
          <w:rFonts w:hint="eastAsia" w:ascii="仿宋" w:hAnsi="仿宋" w:eastAsia="仿宋"/>
          <w:sz w:val="32"/>
          <w:lang w:val="en-US" w:eastAsia="zh-CN"/>
        </w:rPr>
        <w:t>贯彻落实人民防空建设标准。</w:t>
      </w:r>
      <w:r>
        <w:rPr>
          <w:rFonts w:hint="eastAsia" w:ascii="仿宋" w:hAnsi="仿宋" w:eastAsia="仿宋"/>
          <w:sz w:val="32"/>
        </w:rPr>
        <w:t>拟定全盟人民防空工作的</w:t>
      </w:r>
      <w:r>
        <w:rPr>
          <w:rFonts w:hint="eastAsia" w:ascii="仿宋" w:hAnsi="仿宋" w:eastAsia="仿宋"/>
          <w:sz w:val="32"/>
          <w:lang w:val="en-US" w:eastAsia="zh-CN"/>
        </w:rPr>
        <w:t>中长期发展规划和年度计划</w:t>
      </w:r>
      <w:r>
        <w:rPr>
          <w:rFonts w:hint="eastAsia" w:ascii="仿宋" w:hAnsi="仿宋" w:eastAsia="仿宋"/>
          <w:sz w:val="32"/>
        </w:rPr>
        <w:t>，并组织实施。</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2、负责</w:t>
      </w:r>
      <w:r>
        <w:rPr>
          <w:rFonts w:hint="eastAsia" w:ascii="仿宋" w:hAnsi="仿宋" w:eastAsia="仿宋"/>
          <w:sz w:val="32"/>
        </w:rPr>
        <w:t>全盟人民防空</w:t>
      </w:r>
      <w:r>
        <w:rPr>
          <w:rFonts w:hint="eastAsia" w:ascii="仿宋" w:hAnsi="仿宋" w:eastAsia="仿宋"/>
          <w:sz w:val="32"/>
          <w:lang w:val="en-US" w:eastAsia="zh-CN"/>
        </w:rPr>
        <w:t>方案编制管理</w:t>
      </w:r>
      <w:r>
        <w:rPr>
          <w:rFonts w:hint="eastAsia" w:ascii="仿宋" w:hAnsi="仿宋" w:eastAsia="仿宋"/>
          <w:sz w:val="32"/>
        </w:rPr>
        <w:t>，并组织实施。</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3、</w:t>
      </w:r>
      <w:r>
        <w:rPr>
          <w:rFonts w:hint="eastAsia" w:ascii="仿宋" w:hAnsi="仿宋" w:eastAsia="仿宋"/>
          <w:sz w:val="32"/>
        </w:rPr>
        <w:t>组织拟定</w:t>
      </w:r>
      <w:r>
        <w:rPr>
          <w:rFonts w:hint="eastAsia" w:ascii="仿宋" w:hAnsi="仿宋" w:eastAsia="仿宋"/>
          <w:sz w:val="32"/>
          <w:lang w:val="en-US" w:eastAsia="zh-CN"/>
        </w:rPr>
        <w:t>全盟人民防空工程建设规划，并纳入城市总体规划。负责人民防空工程规划、建设、维护和使用的监督管理。</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4、按照管行业必须管安全、管业务必须管安全、管生产经营必须管安全的要求，履行安全生产责任制规定的职责</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5、负责全盟人民防空工程建设管理。负责人民防空工程质量技术指导和监督管理。指导监督城市和基础设施建设、开发利用地下空间贯彻人民防空要求的执行。负责人民防空工程维护管理和综合开发利用。组织人民防空科学技术研究</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6、指导城市群众防空组织的建设和管理。参与执行防灾救灾应急支援任务。组织人民防空演练演习。组织实施人民防空宣传教育</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7、负责全盟人民防空信息化和通信警报建设管理。负责全盟人民防空信息系统项目的审核。指导全盟人民防空信息化平台建设。会同有关部门利用人民防空信息网络、通信警报设施为平时抢险救灾支援服务</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8、组织协调有关部门编制重要目标防护建设总体规划和实施计划。监督检查、指导协调重要目标防护管理工作。指导重要目标单位落实防护要求</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9、负责人民防空建设经费的筹集和管理，负责人民防空国有资产管理。</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10、负责战时人民防空各项工作的组织实施和综合协调。</w:t>
      </w:r>
    </w:p>
    <w:p>
      <w:pPr>
        <w:snapToGrid w:val="0"/>
        <w:spacing w:line="360" w:lineRule="auto"/>
        <w:ind w:firstLine="640"/>
        <w:rPr>
          <w:rFonts w:hint="eastAsia"/>
        </w:rPr>
      </w:pPr>
      <w:r>
        <w:rPr>
          <w:rFonts w:hint="eastAsia" w:ascii="仿宋" w:hAnsi="仿宋" w:eastAsia="仿宋"/>
          <w:sz w:val="32"/>
          <w:lang w:val="en-US" w:eastAsia="zh-CN"/>
        </w:rPr>
        <w:t>11、完成</w:t>
      </w:r>
      <w:r>
        <w:rPr>
          <w:rFonts w:hint="eastAsia" w:ascii="仿宋" w:hAnsi="仿宋" w:eastAsia="仿宋"/>
          <w:sz w:val="32"/>
        </w:rPr>
        <w:t>盟</w:t>
      </w:r>
      <w:r>
        <w:rPr>
          <w:rFonts w:hint="eastAsia" w:ascii="仿宋" w:hAnsi="仿宋" w:eastAsia="仿宋"/>
          <w:sz w:val="32"/>
          <w:lang w:val="en-US" w:eastAsia="zh-CN"/>
        </w:rPr>
        <w:t>委、</w:t>
      </w:r>
      <w:r>
        <w:rPr>
          <w:rFonts w:hint="eastAsia" w:ascii="仿宋" w:hAnsi="仿宋" w:eastAsia="仿宋"/>
          <w:sz w:val="32"/>
        </w:rPr>
        <w:t>行署、锡林郭勒</w:t>
      </w:r>
      <w:r>
        <w:rPr>
          <w:rFonts w:hint="eastAsia" w:ascii="仿宋" w:hAnsi="仿宋" w:eastAsia="仿宋"/>
          <w:sz w:val="32"/>
          <w:lang w:val="en-US" w:eastAsia="zh-CN"/>
        </w:rPr>
        <w:t>军分区交办的</w:t>
      </w:r>
      <w:r>
        <w:rPr>
          <w:rFonts w:hint="eastAsia" w:ascii="仿宋" w:hAnsi="仿宋" w:eastAsia="仿宋"/>
          <w:sz w:val="32"/>
        </w:rPr>
        <w:t>其他</w:t>
      </w:r>
      <w:r>
        <w:rPr>
          <w:rFonts w:hint="eastAsia" w:ascii="仿宋" w:hAnsi="仿宋" w:eastAsia="仿宋"/>
          <w:sz w:val="32"/>
          <w:lang w:val="en-US" w:eastAsia="zh-CN"/>
        </w:rPr>
        <w:t>任务</w:t>
      </w:r>
      <w:r>
        <w:rPr>
          <w:rFonts w:hint="eastAsia" w:ascii="仿宋" w:hAnsi="仿宋" w:eastAsia="仿宋"/>
          <w:sz w:val="32"/>
        </w:rPr>
        <w:t>。</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二、部门机构设置及预算单位构成情况</w:t>
      </w:r>
    </w:p>
    <w:p>
      <w:pPr>
        <w:snapToGrid w:val="0"/>
        <w:spacing w:line="360" w:lineRule="auto"/>
        <w:ind w:firstLine="640"/>
        <w:rPr>
          <w:rFonts w:hint="eastAsia" w:ascii="仿宋" w:hAnsi="仿宋" w:eastAsia="仿宋" w:cs="仿宋"/>
          <w:i/>
          <w:iCs/>
          <w:sz w:val="32"/>
          <w:szCs w:val="32"/>
          <w:highlight w:val="yellow"/>
          <w:lang w:val="en-US" w:eastAsia="zh-CN"/>
        </w:rPr>
      </w:pPr>
      <w:r>
        <w:rPr>
          <w:rFonts w:hint="eastAsia" w:ascii="仿宋" w:hAnsi="仿宋" w:eastAsia="仿宋" w:cs="仿宋"/>
          <w:sz w:val="32"/>
          <w:szCs w:val="32"/>
        </w:rPr>
        <w:t>从预算单位构成看，</w:t>
      </w:r>
      <w:r>
        <w:rPr>
          <w:rFonts w:hint="eastAsia" w:ascii="仿宋" w:hAnsi="仿宋" w:eastAsia="仿宋" w:cs="仿宋"/>
          <w:sz w:val="32"/>
          <w:szCs w:val="32"/>
          <w:lang w:val="en-US" w:eastAsia="zh-CN"/>
        </w:rPr>
        <w:t>内蒙古自治区锡林郭勒盟人民防空办公室（2023年已更名为内蒙古自治区锡林郭勒盟国防动员办公室，保留内蒙古自治区锡林郭勒盟人民防空办公室名称）</w:t>
      </w:r>
      <w:r>
        <w:rPr>
          <w:rFonts w:hint="eastAsia" w:ascii="仿宋" w:hAnsi="仿宋" w:eastAsia="仿宋" w:cs="仿宋"/>
          <w:sz w:val="32"/>
          <w:szCs w:val="32"/>
        </w:rPr>
        <w:t>单位预算包括：</w:t>
      </w:r>
      <w:r>
        <w:rPr>
          <w:rFonts w:hint="eastAsia" w:ascii="仿宋" w:hAnsi="仿宋" w:eastAsia="仿宋" w:cs="仿宋"/>
          <w:sz w:val="32"/>
          <w:szCs w:val="32"/>
          <w:lang w:val="en-US" w:eastAsia="zh-CN"/>
        </w:rPr>
        <w:t>本级</w:t>
      </w:r>
      <w:r>
        <w:rPr>
          <w:rFonts w:hint="eastAsia" w:ascii="仿宋" w:hAnsi="仿宋" w:eastAsia="仿宋" w:cs="仿宋"/>
          <w:sz w:val="32"/>
          <w:szCs w:val="32"/>
        </w:rPr>
        <w:t>预算。</w:t>
      </w:r>
    </w:p>
    <w:p>
      <w:pPr>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1．根据部门职责分工，本</w:t>
      </w:r>
      <w:r>
        <w:rPr>
          <w:rFonts w:hint="eastAsia" w:ascii="仿宋" w:hAnsi="仿宋" w:eastAsia="仿宋" w:cs="仿宋"/>
          <w:sz w:val="32"/>
          <w:szCs w:val="32"/>
          <w:lang w:val="en-US" w:eastAsia="zh-CN"/>
        </w:rPr>
        <w:t>单位</w:t>
      </w:r>
      <w:r>
        <w:rPr>
          <w:rFonts w:hint="eastAsia" w:ascii="仿宋" w:hAnsi="仿宋" w:eastAsia="仿宋" w:cs="仿宋"/>
          <w:sz w:val="32"/>
          <w:szCs w:val="32"/>
        </w:rPr>
        <w:t>内设机构包括</w:t>
      </w:r>
      <w:r>
        <w:rPr>
          <w:rFonts w:hint="eastAsia" w:ascii="仿宋" w:hAnsi="仿宋" w:eastAsia="仿宋" w:cs="仿宋"/>
          <w:sz w:val="32"/>
          <w:szCs w:val="32"/>
          <w:lang w:val="en-US" w:eastAsia="zh-CN"/>
        </w:rPr>
        <w:t>四个职能科室，分别为综合科、战备建设科、工程科、计划财务保障科。行政编制12人，实有公务员9人，工勤人员2人。退休人员11人，遗属1人。</w:t>
      </w:r>
    </w:p>
    <w:p>
      <w:pPr>
        <w:pageBreakBefore w:val="0"/>
        <w:kinsoku/>
        <w:wordWrap/>
        <w:overflowPunct/>
        <w:topLinePunct w:val="0"/>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2．从预算单位构成看，纳入本</w:t>
      </w:r>
      <w:r>
        <w:rPr>
          <w:rFonts w:hint="eastAsia" w:ascii="仿宋" w:hAnsi="仿宋" w:eastAsia="仿宋" w:cs="仿宋"/>
          <w:sz w:val="32"/>
          <w:szCs w:val="32"/>
          <w:lang w:val="en-US" w:eastAsia="zh-CN"/>
        </w:rPr>
        <w:t>单位2023</w:t>
      </w:r>
      <w:r>
        <w:rPr>
          <w:rFonts w:hint="eastAsia" w:ascii="仿宋" w:hAnsi="仿宋" w:eastAsia="仿宋" w:cs="仿宋"/>
          <w:sz w:val="32"/>
          <w:szCs w:val="32"/>
        </w:rPr>
        <w:t>年部门汇总预算编制范围的预算单位共计</w:t>
      </w:r>
      <w:r>
        <w:rPr>
          <w:rFonts w:hint="eastAsia" w:ascii="仿宋" w:hAnsi="仿宋" w:eastAsia="仿宋" w:cs="仿宋"/>
          <w:sz w:val="32"/>
          <w:szCs w:val="32"/>
          <w:lang w:val="en-US" w:eastAsia="zh-CN"/>
        </w:rPr>
        <w:t>1</w:t>
      </w:r>
      <w:r>
        <w:rPr>
          <w:rFonts w:hint="eastAsia" w:ascii="仿宋" w:hAnsi="仿宋" w:eastAsia="仿宋" w:cs="仿宋"/>
          <w:sz w:val="32"/>
          <w:szCs w:val="32"/>
        </w:rPr>
        <w:t>家，具体包括：</w:t>
      </w:r>
      <w:r>
        <w:rPr>
          <w:rFonts w:hint="eastAsia" w:ascii="仿宋" w:hAnsi="仿宋" w:eastAsia="仿宋" w:cs="仿宋"/>
          <w:sz w:val="32"/>
          <w:szCs w:val="32"/>
          <w:lang w:val="en-US" w:eastAsia="zh-CN"/>
        </w:rPr>
        <w:t>内蒙古自治区锡林郭勒盟人民防空办公室</w:t>
      </w:r>
      <w:r>
        <w:rPr>
          <w:rFonts w:hint="eastAsia" w:ascii="仿宋" w:hAnsi="仿宋" w:eastAsia="仿宋" w:cs="仿宋"/>
          <w:sz w:val="32"/>
          <w:szCs w:val="32"/>
        </w:rPr>
        <w:t>本级。</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sz w:val="32"/>
                <w:szCs w:val="32"/>
                <w:lang w:val="en-US" w:eastAsia="zh-CN"/>
              </w:rPr>
              <w:t>内蒙古自治区锡林郭勒盟人民防空办公室</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财政拨款的行政单位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r>
    </w:tbl>
    <w:p>
      <w:pPr>
        <w:pageBreakBefore w:val="0"/>
        <w:kinsoku/>
        <w:wordWrap/>
        <w:overflowPunct/>
        <w:topLinePunct w:val="0"/>
        <w:bidi w:val="0"/>
        <w:spacing w:line="600" w:lineRule="exact"/>
        <w:rPr>
          <w:rFonts w:eastAsia="仿宋_GB2312" w:cstheme="minorBidi"/>
          <w:sz w:val="32"/>
          <w:szCs w:val="32"/>
        </w:rPr>
      </w:pP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i w:val="0"/>
          <w:caps w:val="0"/>
          <w:color w:val="333333"/>
          <w:spacing w:val="0"/>
          <w:sz w:val="32"/>
          <w:szCs w:val="32"/>
          <w:shd w:val="clear" w:color="auto" w:fill="FFFFFF"/>
        </w:rPr>
        <w:t>根据国家人民防空办公室《关于不公开人防经费预决算信息的通知》(国人防〔2012〕538号)</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kern w:val="0"/>
          <w:sz w:val="32"/>
          <w:szCs w:val="32"/>
        </w:rPr>
        <w:t>(国人防</w:t>
      </w:r>
      <w:r>
        <w:rPr>
          <w:rFonts w:hint="eastAsia" w:ascii="仿宋" w:hAnsi="仿宋" w:eastAsia="仿宋" w:cs="仿宋"/>
          <w:sz w:val="32"/>
        </w:rPr>
        <w:t>〔2014〕447号</w:t>
      </w:r>
      <w:r>
        <w:rPr>
          <w:rFonts w:hint="eastAsia" w:ascii="仿宋" w:hAnsi="仿宋" w:eastAsia="仿宋" w:cs="仿宋"/>
          <w:kern w:val="0"/>
          <w:sz w:val="32"/>
          <w:szCs w:val="32"/>
        </w:rPr>
        <w:t>)</w:t>
      </w:r>
      <w:r>
        <w:rPr>
          <w:rFonts w:hint="eastAsia" w:ascii="仿宋" w:hAnsi="仿宋" w:eastAsia="仿宋" w:cs="仿宋"/>
          <w:i w:val="0"/>
          <w:caps w:val="0"/>
          <w:color w:val="333333"/>
          <w:spacing w:val="0"/>
          <w:sz w:val="32"/>
          <w:szCs w:val="32"/>
          <w:shd w:val="clear" w:color="auto" w:fill="FFFFFF"/>
        </w:rPr>
        <w:t>要求，“人防是国防的组成部分，人防经费属于国防经费范畴是国家秘密，依据《中华人民共和国保守国家秘密法》和《中华人民共和国政府信息公开条例》及有关规定，人防经费预决算信息不属于公开项”。</w:t>
      </w:r>
      <w:r>
        <w:rPr>
          <w:rFonts w:hint="eastAsia" w:ascii="仿宋" w:hAnsi="仿宋" w:eastAsia="仿宋" w:cs="仿宋"/>
          <w:i w:val="0"/>
          <w:caps w:val="0"/>
          <w:color w:val="333333"/>
          <w:spacing w:val="0"/>
          <w:sz w:val="32"/>
          <w:szCs w:val="32"/>
          <w:shd w:val="clear" w:color="auto" w:fill="FFFFFF"/>
          <w:lang w:val="en-US" w:eastAsia="zh-CN"/>
        </w:rPr>
        <w:t>因此，内蒙古自治区锡林郭勒盟人民防空办公室</w:t>
      </w:r>
      <w:r>
        <w:rPr>
          <w:rFonts w:hint="eastAsia" w:ascii="仿宋" w:hAnsi="仿宋" w:eastAsia="仿宋" w:cs="仿宋"/>
          <w:kern w:val="0"/>
          <w:sz w:val="32"/>
          <w:szCs w:val="32"/>
        </w:rPr>
        <w:t>只公开</w:t>
      </w:r>
      <w:r>
        <w:rPr>
          <w:rFonts w:hint="eastAsia" w:ascii="仿宋" w:hAnsi="仿宋" w:eastAsia="仿宋" w:cs="仿宋"/>
          <w:sz w:val="32"/>
          <w:szCs w:val="32"/>
        </w:rPr>
        <w:t>财政拨款“三公”经费支出预</w:t>
      </w:r>
      <w:r>
        <w:rPr>
          <w:rFonts w:hint="eastAsia" w:ascii="仿宋" w:hAnsi="仿宋" w:eastAsia="仿宋" w:cs="仿宋"/>
          <w:kern w:val="0"/>
          <w:sz w:val="32"/>
          <w:szCs w:val="32"/>
        </w:rPr>
        <w:t>算信息</w:t>
      </w:r>
      <w:r>
        <w:rPr>
          <w:rFonts w:hint="eastAsia" w:ascii="仿宋" w:hAnsi="仿宋" w:eastAsia="仿宋" w:cs="仿宋"/>
          <w:i w:val="0"/>
          <w:caps w:val="0"/>
          <w:color w:val="333333"/>
          <w:spacing w:val="0"/>
          <w:sz w:val="32"/>
          <w:szCs w:val="32"/>
          <w:shd w:val="clear" w:color="auto" w:fill="FFFFFF"/>
          <w:lang w:val="en-US" w:eastAsia="zh-CN"/>
        </w:rPr>
        <w:t>。</w:t>
      </w:r>
    </w:p>
    <w:p>
      <w:pPr>
        <w:pageBreakBefore w:val="0"/>
        <w:kinsoku/>
        <w:wordWrap/>
        <w:overflowPunct/>
        <w:topLinePunct w:val="0"/>
        <w:bidi w:val="0"/>
        <w:spacing w:line="600" w:lineRule="exact"/>
        <w:ind w:firstLine="640" w:firstLineChars="200"/>
        <w:rPr>
          <w:rFonts w:hint="eastAsia" w:eastAsia="仿宋_GB2312" w:cstheme="minorBidi"/>
          <w:sz w:val="32"/>
          <w:szCs w:val="32"/>
          <w:highlight w:val="yellow"/>
        </w:rPr>
      </w:pPr>
    </w:p>
    <w:p>
      <w:pPr>
        <w:pageBreakBefore w:val="0"/>
        <w:kinsoku/>
        <w:wordWrap/>
        <w:overflowPunct/>
        <w:topLinePunct w:val="0"/>
        <w:bidi w:val="0"/>
        <w:spacing w:line="600" w:lineRule="exact"/>
        <w:ind w:firstLine="640" w:firstLineChars="200"/>
        <w:rPr>
          <w:rFonts w:ascii="微软雅黑" w:hAnsi="微软雅黑" w:eastAsia="微软雅黑" w:cs="微软雅黑"/>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2023</w:t>
      </w:r>
      <w:r>
        <w:rPr>
          <w:rFonts w:hint="eastAsia" w:eastAsia="黑体" w:cs="黑体"/>
          <w:b w:val="0"/>
          <w:bCs w:val="0"/>
          <w:sz w:val="32"/>
          <w:szCs w:val="36"/>
        </w:rPr>
        <w:t>年单位主要工作任务及目标</w:t>
      </w:r>
    </w:p>
    <w:p>
      <w:pPr>
        <w:pStyle w:val="7"/>
        <w:pageBreakBefore w:val="0"/>
        <w:tabs>
          <w:tab w:val="left" w:pos="4392"/>
        </w:tabs>
        <w:kinsoku/>
        <w:wordWrap/>
        <w:overflowPunct/>
        <w:topLinePunct w:val="0"/>
        <w:bidi w:val="0"/>
        <w:spacing w:before="0" w:after="0" w:line="600" w:lineRule="exact"/>
        <w:ind w:firstLine="640" w:firstLineChars="200"/>
        <w:jc w:val="both"/>
        <w:rPr>
          <w:rFonts w:hint="default" w:ascii="微软雅黑" w:hAnsi="微软雅黑" w:eastAsia="微软雅黑" w:cs="微软雅黑"/>
          <w:b w:val="0"/>
          <w:bCs w:val="0"/>
          <w:sz w:val="36"/>
          <w:szCs w:val="36"/>
          <w:lang w:val="en-US" w:eastAsia="zh-CN"/>
        </w:rPr>
      </w:pPr>
      <w:r>
        <w:rPr>
          <w:rFonts w:hint="eastAsia" w:ascii="仿宋" w:hAnsi="仿宋" w:eastAsia="仿宋" w:cs="仿宋"/>
          <w:b w:val="0"/>
          <w:bCs w:val="0"/>
          <w:sz w:val="32"/>
          <w:szCs w:val="32"/>
          <w:lang w:val="en-US" w:eastAsia="zh-CN"/>
        </w:rPr>
        <w:t>此处不予公开</w:t>
      </w: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2023</w:t>
      </w:r>
      <w:r>
        <w:rPr>
          <w:rFonts w:hint="eastAsia" w:ascii="微软雅黑" w:hAnsi="微软雅黑" w:eastAsia="微软雅黑" w:cs="微软雅黑"/>
          <w:b w:val="0"/>
          <w:bCs w:val="0"/>
          <w:sz w:val="36"/>
          <w:szCs w:val="36"/>
        </w:rPr>
        <w:t>年度单位预算情况说明</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内蒙古自治区锡林郭勒盟人民防空办公室</w:t>
      </w:r>
      <w:r>
        <w:rPr>
          <w:rFonts w:hint="eastAsia" w:eastAsia="仿宋_GB2312" w:cs="Times New Roman"/>
          <w:sz w:val="32"/>
          <w:szCs w:val="32"/>
          <w:u w:val="none"/>
          <w:lang w:val="en-US" w:eastAsia="zh-CN"/>
        </w:rPr>
        <w:t>单位</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56.5</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55.5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98.23</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56.5</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pacing w:val="-6"/>
          <w:sz w:val="32"/>
          <w:szCs w:val="32"/>
          <w:u w:val="single"/>
          <w:lang w:val="en-US" w:eastAsia="zh-CN"/>
        </w:rPr>
        <w:t>48.5</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eastAsia" w:eastAsia="仿宋_GB2312" w:cs="Times New Roman"/>
          <w:sz w:val="32"/>
          <w:szCs w:val="32"/>
          <w:u w:val="single"/>
          <w:lang w:val="en-US" w:eastAsia="zh-CN"/>
        </w:rPr>
        <w:t>606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55.5</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 xml:space="preserve"> 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 xml:space="preserve"> 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ascii="仿宋" w:hAnsi="仿宋" w:eastAsia="仿宋" w:cs="仿宋"/>
          <w:sz w:val="32"/>
          <w:szCs w:val="32"/>
          <w:lang w:val="en-US" w:eastAsia="zh-CN"/>
        </w:rPr>
        <w:t>增加两辆车辆购置预算</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6.5</w:t>
      </w:r>
      <w:r>
        <w:rPr>
          <w:rFonts w:hint="default" w:ascii="Times New Roman" w:hAnsi="Times New Roman" w:eastAsia="仿宋_GB2312" w:cs="Times New Roman"/>
          <w:sz w:val="32"/>
          <w:szCs w:val="32"/>
        </w:rPr>
        <w:t>万元，比上年预算减少</w:t>
      </w:r>
      <w:r>
        <w:rPr>
          <w:rFonts w:hint="eastAsia" w:eastAsia="仿宋_GB2312" w:cs="Times New Roman"/>
          <w:sz w:val="32"/>
          <w:szCs w:val="32"/>
          <w:u w:val="single"/>
          <w:lang w:val="en-US" w:eastAsia="zh-CN"/>
        </w:rPr>
        <w:t>0.5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ascii="仿宋" w:hAnsi="仿宋" w:eastAsia="仿宋" w:cs="仿宋"/>
          <w:sz w:val="32"/>
          <w:szCs w:val="32"/>
          <w:lang w:val="en-US" w:eastAsia="zh-CN"/>
        </w:rPr>
        <w:t>公务用车运行费用减少</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ascii="仿宋_GB2312" w:eastAsia="仿宋_GB2312"/>
          <w:sz w:val="32"/>
          <w:szCs w:val="32"/>
        </w:rPr>
        <w:t>与上年预算相比无变化。</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r>
        <w:rPr>
          <w:rFonts w:hint="eastAsia" w:eastAsia="黑体" w:cs="黑体"/>
          <w:b w:val="0"/>
          <w:bCs w:val="0"/>
          <w:sz w:val="32"/>
          <w:szCs w:val="36"/>
        </w:rPr>
        <w:t>八、政府性基金预算支出预算情况说明</w:t>
      </w:r>
    </w:p>
    <w:p>
      <w:pPr>
        <w:pageBreakBefore w:val="0"/>
        <w:kinsoku/>
        <w:wordWrap/>
        <w:overflowPunct/>
        <w:topLinePunct w:val="0"/>
        <w:bidi w:val="0"/>
        <w:spacing w:line="600" w:lineRule="exact"/>
        <w:ind w:firstLine="640" w:firstLineChars="200"/>
        <w:outlineLvl w:val="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本单位无此项预算</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w:t>
      </w:r>
      <w:bookmarkStart w:id="0" w:name="_GoBack"/>
      <w:bookmarkEnd w:id="0"/>
      <w:r>
        <w:rPr>
          <w:rFonts w:hint="eastAsia" w:eastAsia="黑体" w:cs="黑体"/>
          <w:b w:val="0"/>
          <w:bCs w:val="0"/>
          <w:sz w:val="32"/>
          <w:szCs w:val="36"/>
        </w:rPr>
        <w:t>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360" w:lineRule="auto"/>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keepNext w:val="0"/>
        <w:keepLines w:val="0"/>
        <w:pageBreakBefore w:val="0"/>
        <w:widowControl w:val="0"/>
        <w:numPr>
          <w:ilvl w:val="0"/>
          <w:numId w:val="3"/>
        </w:numPr>
        <w:pBdr>
          <w:bottom w:val="single" w:color="FFFFFF" w:sz="4" w:space="30"/>
        </w:pBdr>
        <w:tabs>
          <w:tab w:val="left" w:pos="583"/>
        </w:tabs>
        <w:kinsoku/>
        <w:wordWrap/>
        <w:overflowPunct/>
        <w:topLinePunct w:val="0"/>
        <w:autoSpaceDE/>
        <w:autoSpaceDN/>
        <w:bidi w:val="0"/>
        <w:adjustRightInd/>
        <w:snapToGrid w:val="0"/>
        <w:spacing w:line="240" w:lineRule="atLeast"/>
        <w:ind w:left="630" w:leftChars="0" w:firstLine="0" w:firstLineChars="0"/>
        <w:textAlignment w:val="auto"/>
        <w:rPr>
          <w:rFonts w:hint="eastAsia" w:eastAsia="黑体" w:cs="黑体"/>
          <w:b w:val="0"/>
          <w:bCs w:val="0"/>
          <w:sz w:val="32"/>
          <w:szCs w:val="36"/>
        </w:rPr>
      </w:pPr>
      <w:r>
        <w:rPr>
          <w:rFonts w:hint="eastAsia" w:eastAsia="黑体" w:cs="黑体"/>
          <w:b w:val="0"/>
          <w:bCs w:val="0"/>
          <w:sz w:val="32"/>
          <w:szCs w:val="36"/>
        </w:rPr>
        <w:t>一般公共预算机关运行经费支出预算情况说明</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不予公开</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不予公开</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b w:val="0"/>
          <w:bCs w:val="0"/>
          <w:sz w:val="36"/>
          <w:szCs w:val="36"/>
          <w:lang w:val="en-US"/>
        </w:rPr>
      </w:pPr>
      <w:r>
        <w:rPr>
          <w:rFonts w:hint="eastAsia" w:eastAsia="黑体" w:cs="黑体"/>
          <w:b/>
          <w:bCs/>
          <w:sz w:val="32"/>
          <w:szCs w:val="36"/>
          <w:lang w:val="en-US" w:eastAsia="zh-CN"/>
        </w:rPr>
        <w:t xml:space="preserve">    </w:t>
      </w:r>
      <w:r>
        <w:rPr>
          <w:rFonts w:hint="eastAsia" w:ascii="仿宋" w:hAnsi="仿宋" w:eastAsia="仿宋" w:cs="仿宋"/>
          <w:b w:val="0"/>
          <w:bCs w:val="0"/>
          <w:sz w:val="32"/>
          <w:szCs w:val="36"/>
          <w:lang w:val="en-US" w:eastAsia="zh-CN"/>
        </w:rPr>
        <w:t>不予公开</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both"/>
        <w:rPr>
          <w:rFonts w:hint="eastAsia" w:ascii="微软雅黑" w:hAnsi="微软雅黑" w:eastAsia="微软雅黑" w:cs="微软雅黑"/>
          <w:b w:val="0"/>
          <w:bCs w:val="0"/>
          <w:sz w:val="36"/>
          <w:szCs w:val="36"/>
        </w:rPr>
      </w:pPr>
    </w:p>
    <w:p>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 w:hAnsi="仿宋" w:eastAsia="仿宋" w:cs="仿宋"/>
          <w:sz w:val="32"/>
          <w:szCs w:val="32"/>
          <w:lang w:val="en-US" w:eastAsia="zh-CN"/>
        </w:rPr>
        <w:t>王智敏</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04798235703</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rPr>
        <w:t>第五部分  XX年度XX部门（单位）预算表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BC0448-2BCD-4E98-BBBC-8E243C7589C2}"/>
  </w:font>
  <w:font w:name="黑体">
    <w:panose1 w:val="02010609060101010101"/>
    <w:charset w:val="86"/>
    <w:family w:val="auto"/>
    <w:pitch w:val="default"/>
    <w:sig w:usb0="800002BF" w:usb1="38CF7CFA" w:usb2="00000016" w:usb3="00000000" w:csb0="00040001" w:csb1="00000000"/>
    <w:embedRegular r:id="rId2" w:fontKey="{DE171CA2-ABEE-4638-8EB3-1586195669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58DC190E-4583-4709-A4E8-CBA04FF84D4D}"/>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16267E9A-D867-4150-87AA-894F9E43D646}"/>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5" w:fontKey="{A16B02BA-80F9-43D4-97B2-56E31B4956A9}"/>
  </w:font>
  <w:font w:name="微软雅黑">
    <w:panose1 w:val="020B0503020204020204"/>
    <w:charset w:val="86"/>
    <w:family w:val="auto"/>
    <w:pitch w:val="default"/>
    <w:sig w:usb0="80000287" w:usb1="2ACF3C50" w:usb2="00000016" w:usb3="00000000" w:csb0="0004001F" w:csb1="00000000"/>
    <w:embedRegular r:id="rId6" w:fontKey="{BFC13980-E6BA-4E2C-A27C-A93FEE0122B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abstractNum w:abstractNumId="2">
    <w:nsid w:val="5E3EB5BA"/>
    <w:multiLevelType w:val="singleLevel"/>
    <w:tmpl w:val="5E3EB5BA"/>
    <w:lvl w:ilvl="0" w:tentative="0">
      <w:start w:val="11"/>
      <w:numFmt w:val="chineseCounting"/>
      <w:suff w:val="nothing"/>
      <w:lvlText w:val="%1、"/>
      <w:lvlJc w:val="left"/>
      <w:pPr>
        <w:ind w:left="63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WZkZDY0NDZlOTAxMGRmNzU1YTg5OTQyNjk4NW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DE59D8"/>
    <w:rsid w:val="05F92C68"/>
    <w:rsid w:val="06571B7A"/>
    <w:rsid w:val="077111CE"/>
    <w:rsid w:val="0772575A"/>
    <w:rsid w:val="07DA3A8F"/>
    <w:rsid w:val="089D7C92"/>
    <w:rsid w:val="09C92DD3"/>
    <w:rsid w:val="09CF6E4B"/>
    <w:rsid w:val="0A7A08E8"/>
    <w:rsid w:val="0B6B045B"/>
    <w:rsid w:val="0BD554C2"/>
    <w:rsid w:val="0D5E38BE"/>
    <w:rsid w:val="0E7B4525"/>
    <w:rsid w:val="10767327"/>
    <w:rsid w:val="11304CEB"/>
    <w:rsid w:val="11AF4DCB"/>
    <w:rsid w:val="12955111"/>
    <w:rsid w:val="12CC6E6D"/>
    <w:rsid w:val="13806E42"/>
    <w:rsid w:val="13A607E7"/>
    <w:rsid w:val="140E7482"/>
    <w:rsid w:val="1440520B"/>
    <w:rsid w:val="14737EE6"/>
    <w:rsid w:val="14BD22E1"/>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5F8E7430"/>
    <w:rsid w:val="60976762"/>
    <w:rsid w:val="615674ED"/>
    <w:rsid w:val="61744EA1"/>
    <w:rsid w:val="637048DB"/>
    <w:rsid w:val="64AA146F"/>
    <w:rsid w:val="65335497"/>
    <w:rsid w:val="65D76172"/>
    <w:rsid w:val="66C77325"/>
    <w:rsid w:val="68931D4F"/>
    <w:rsid w:val="68C6406F"/>
    <w:rsid w:val="6A1638AD"/>
    <w:rsid w:val="6B315C64"/>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2966</Words>
  <Characters>3058</Characters>
  <Lines>80</Lines>
  <Paragraphs>22</Paragraphs>
  <TotalTime>44</TotalTime>
  <ScaleCrop>false</ScaleCrop>
  <LinksUpToDate>false</LinksUpToDate>
  <CharactersWithSpaces>3148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原来如此</cp:lastModifiedBy>
  <cp:lastPrinted>2022-09-03T08:20:00Z</cp:lastPrinted>
  <dcterms:modified xsi:type="dcterms:W3CDTF">2023-05-10T02:00:32Z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7E9F900B1F014EE286FC3EF511FA0005_13</vt:lpwstr>
  </property>
  <property fmtid="{D5CDD505-2E9C-101B-9397-08002B2CF9AE}" pid="4" name="commondata">
    <vt:lpwstr>eyJoZGlkIjoiMDUyZTZiOWNhNTRkM2JiNDQwZWRmZDZjZTIwNDhiY2IifQ==</vt:lpwstr>
  </property>
</Properties>
</file>